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23</w:t>
      </w:r>
    </w:p>
    <w:p>
      <w:r>
        <w:t>Bundesgericht (BGE), 1971-01-20, DE</w:t>
      </w:r>
    </w:p>
    <w:p>
      <w:r>
        <w:rPr>
          <w:b/>
        </w:rPr>
        <w:t xml:space="preserve">Quelle: </w:t>
      </w:r>
      <w:r>
        <w:t>https://mcp.opencaselaw.ch/entscheid/bge_97 III 23</w:t>
      </w:r>
    </w:p>
    <w:p>
      <w:r>
        <w:t>FR: ATF 97 III 23</w:t>
      </w:r>
    </w:p>
    <w:p>
      <w:r>
        <w:t>IT: DTF 97 III 23</w:t>
      </w:r>
    </w:p>
    <w:p>
      <w:pPr>
        <w:pStyle w:val="Heading2"/>
      </w:pPr>
      <w:r>
        <w:t>Regeste</w:t>
      </w:r>
    </w:p>
    <w:p>
      <w:r>
        <w:t>Regeste Unpfändbarkeit eines aus Beiträgen des Arbeitgebers und des Arbeitnehmers gespiesenen Sparhefts, das eine Gemeindeverwaltung aus Gründen der Personalfürsorge bei einer Bank auf den Namen eines Aushilfsangestellten der Gemeinde angelegt hat und auf dessen Aushändigung der Angestellte nach der kommunalen Verordnung, welche das Anstellungsverhältnis regelt, wenigstens einstweilen nur eine unsichere Anwartschaft besitzt.</w:t>
      </w:r>
    </w:p>
    <w:p>
      <w:pPr>
        <w:pStyle w:val="Heading2"/>
      </w:pPr>
      <w:r>
        <w:t>Erwägungen</w:t>
      </w:r>
    </w:p>
    <w:p>
      <w:r>
        <w:rPr>
          <w:b/>
        </w:rPr>
        <w:t>E. 1</w:t>
      </w:r>
    </w:p>
    <w:p>
      <w:r>
        <w:t>Was Gegenstand einer Pfändung im Sinne von Art. 89 ff. SchKG sein kann, ist eine Frage des Bundesrechts. Nach Bundesrecht sind grundsätzlich alle Vermögensrechte des Schuldners pfändbar (FRITZSCHE, Schuldbetreibung und Konkurs, I, 1967, S. 191). Eine ausdrückliche Vorschrift des Bundesrechts, nach welcher Sparguthaben wie das streitige unpfändbar oder nur beschränkt pfändbar wären, besteht nicht. (Auf Grund von Art. 92 Ziff. 5 SchKG den Betrag freizugeben, der zur Anschaffung der für die zwei auf die Pfändung folgenden Monate notwendigen Nahrungs- und Feuerungsmittel erforderlich ist, käme nur in Frage, wenn es sich wie im Falle BGE 91 III 57 ff. um ein Sparguthaben handelte, das für eine solche Anschaffung flüssig gemacht oder doch - vgl. BGE 78 III 163 - belehnt werden könnte, was nicht zutrifft. Im übrigen könnte der Rekursgegner, der ein regelmässiges Lohneinkommen bezieht, nicht verlangen, dass seinem Bedarf nach Nahrungs- und Feuerungsmitteln sowohl nach Art. 92 Ziff. 5 SchKG als auch bei der Festsetzung des unpfändbaren Lohnbetrags nach Art. 93 SchKG Rechnung getragen werde; vgl. BGE 77 III 153 ff. E. 4 c; BGE 78 III 118 E. 2 und 163/64.) Zu prüfen bleibt daher nur, ob der Anspruch des Rekursgegners auf das streitige Sparguthaben unabhängig von den Unpfändbarkeitsbestimmungen des Bundesrechts, die zur Hauptsache auf sozialpolitischen Erwägungen beruhen und die Frage, welche Gegenstände aus solchen Gründen nicht gepfändet werden dürfen, abschliessend regeln, seiner rechtlichen Natur nach der Pfändung entzogen sei. Die rechtliche Natur eines Anspruchs, dessen Pfändung in Frage steht, beurteilt sich nach den Normen, die ihn beherrschen, gegebenenfalls also nach den einschlägigen Bestimmungen des kantonalen oder kommunalen Rechts. Ob die hienach bestimmte Natur des Anspruchs dessen Pfändung ausschliesse, entscheidet sich nach Bundesrecht.</w:t>
      </w:r>
    </w:p>
    <w:p>
      <w:r>
        <w:rPr>
          <w:b/>
        </w:rPr>
        <w:t>E. 2</w:t>
      </w:r>
    </w:p>
    <w:p>
      <w:r>
        <w:t>Obwohl das streitige Sparguthaben auf den Namen des Rekursgegners lautet, kann dieser nach § 10 des Regulativs über das Aushilfspersonal der Stadtverwaltung Winterthur, dessen wesentlichen Inhalt die Vorinstanz in ihrem Entscheide festgestellt hat, während der Dauer seiner Anstellung über das Guthaben nicht verfügen. Es ist zudem sehr unsicher, ob er überhaupt jemals frei über dieses Guthaben wird verfügen können. BGE 97 III 23 S. 26 Falls er fest angestellt werden sollte, würde das Sparguthaben nach § 11 des Regulativs je nachdem, ob er als vollversichertes Mitglied in die Pensionskasse aufgenommen würde oder der Sparversicherung beiträte, für den Einkauf in die Pensionskasse verwendet oder dem Sparkonto bei der Pensionskasse gutgeschrieben. (Die Voraussetzungen, unter denen dem bisherigen Aushilfsangestellten nach § 11 des Regulativs bei Begründung eines festen Anstellungsverhältnisses ein gewisser Teil des Sparguthabens zur freien Verfügung überlassen wird, werden sich beim Rekursgegner kaum verwirklichen.) Wird das Sparguthaben für den Einkauf in die Pensionskasse verwendet oder dem Sparkonto gutgeschrieben, so steht dem Rekursgegner nur noch ein Anspruch auf die Leistungen zu, welche die städtische Personalfürsorgeeinrichtung beim Eintritt der im Personalstatut oder in den Kassenstatuten niedergelegten Voraussetzungen zu erbringen hat. Dafür, dass der Rekursgegner in absehbarer Zeit aus dem städtischen Dienst austreten werde, bestehen keine Anhaltspunkte. Im übrigen stünde ihm das Sparguthaben auch im Falle des Austritts nicht unter allen Umständen zur freien Verfügung, sondern die Stadtverwaltung hätte (abgesehen von dem ihr nach § 12 Abs. 2 des Regulativs zustehenden Verrechnungsrecht) bei einem Austritt wegen Alters oder Invalidität nach § 12 Abs. 3 des Regulativs die Möglichkeit, die ratenweise Auszahlung anzuordnen (und dabei nötigenfalls auch auf die Interessen unterstützungsberechtigter Angehöriger Rücksicht zu nehmen). Angesichts dieser Regelung, die in Übereinstimmung mit der allgemeinen Tendenz des Personalfürsorgerechts (vgl. z.B. Art. 343bis Abs. 4 OR ) eine Zweckentfremdung der für die Personalfürsorge bereitgestellten Mittel verhüten will, handelt es sich beim Anspruch des Rekursgegners auf das für ihn angelegte Sparguthaben einstweilen um ein erst teilweise entstandenes Recht. Die Entstehung des vollen Rechts auf dieses Guthaben ist Bedingungen unterworfen, von denen ungewiss ist, ob und allenfalls wann sie eintreten. Das Sparguthaben stellt also für den Rekursgegner vorderhand nur ein bedingtes, rein hypothetisches Aktivum dar, ähnlich wie das nachBGE 62 II 12f. E. 3 und BGE 84 II 3 E. 2 für ein Mitglied einer Pensionskasse hinsichtlich der Ansprüche auf die Kassenleistungen zutrifft, solange die statutarischen Voraussetzungen dieser Leistungen nicht erfüllt sind (vgl. HEINZ MEYER, Personalvorsorge und Zwangsvollstreckung, BlSchK 1969 S. 97 ff., 99). Der Rekursgegner BGE 97 III 23 S. 27 hat also einstweilen nur eine unsichere Anwartschaft auf das auf seinen Namen angelegte Spargeld. Ein Anspruch, der in Wirklichkeit nur den Charakter einer solchen Anwartschaft hat, ist nicht pfändbar (JAEGER N. 1 B zu Art. 92 SchKG , S. 252/53; FAVRE, Droit des poursuites, 2. Aufl., S. 181 unter II 2; FRITZSCHE a.a.O. S. 219 unter B). Der entscheidende Grund hiefür liegt darin, dass die Verwertung eines derartigen Anspruchs - soweit sie rechtlich überhaupt möglich wäre - zu einer sinnlosen Vermögensverschleuderung führen würde (vgl. ADRIAN STAEHELIN, Probleme aus dem Grenzbereich zwischen Privat- und Zwangsvollstreckungsrecht, 1968, S. 27 ff.). Ein allfälliger Erwerber des Anspruchs müsste nämlich die Beschränkungen und Bedingungen, denen dieser Anspruch nach den Bestimmungen des angeführten Regulativs unterliegt, gegen sich gelten lassen, so dass die Veräusserung - wenn überhaupt - zweifellos nur zu einem Schleuderpreis erfolgen könnte. Mit der Verwertung zuzuwarten, bis sich zeigt, ob der Schuldner über das Sparguthaben verfügen kann oder nicht, geht im Hinblick auf die für das Verwertungsbegehren und die Verwertung geltenden Fristen ( Art. 116, 122 SchKG ) nicht an. Auf dem Wege der Überweisung zur Eintreibung gemäss Art. 131 Abs. 2 SchKG lässt sich ein Anspruch, der einer möglicherweise erst viel später oder überhaupt nicht eintretenden Bedingung unterliegt, nicht verwerten; denn dadurch würde das Betreibungsverfahren, das erst nach der Geltendmachung des "überwiesenen" Anspruchs abgeschlossen werden kann, unter Umständen in untragbarer Weise verlängert. Das streitige Sparguthaben stellt daher wenigstens einstweilen kein pfändbares Aktivum des Rekursgegners dar. (Zur Frage der Pfändbarkeit dieses Guthabens nach einer allfälligen Freigabe vgl. BGE 78 III 107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